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F9629" w14:textId="7AFC7625" w:rsidR="00C42F4C" w:rsidRPr="00C42F4C" w:rsidRDefault="00C42F4C" w:rsidP="00C42F4C">
      <w:pPr>
        <w:tabs>
          <w:tab w:val="left" w:pos="8505"/>
        </w:tabs>
        <w:spacing w:line="360" w:lineRule="auto"/>
        <w:ind w:right="-1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C42F4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Caro formando do </w:t>
      </w:r>
      <w:r w:rsidRPr="00C42F4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“um dia com o NEBio”</w:t>
      </w:r>
      <w:r w:rsidRPr="00C42F4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no contexto do CNI agosto 2020.</w:t>
      </w:r>
    </w:p>
    <w:p w14:paraId="4B4CEBDA" w14:textId="77777777" w:rsidR="00C42F4C" w:rsidRPr="00C42F4C" w:rsidRDefault="00C42F4C" w:rsidP="00C42F4C">
      <w:pPr>
        <w:tabs>
          <w:tab w:val="left" w:pos="8505"/>
        </w:tabs>
        <w:spacing w:line="360" w:lineRule="auto"/>
        <w:ind w:right="-1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</w:p>
    <w:p w14:paraId="74ABDD73" w14:textId="3A7D7E1F" w:rsidR="00C42F4C" w:rsidRPr="00C42F4C" w:rsidRDefault="00C42F4C" w:rsidP="00C42F4C">
      <w:pPr>
        <w:tabs>
          <w:tab w:val="left" w:pos="8505"/>
        </w:tabs>
        <w:spacing w:line="360" w:lineRule="auto"/>
        <w:ind w:right="-1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C42F4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A reflexão ética emerge como resposta necessária depois do confronto com o imprevisível, o inesperado e a estranheza que nos impeliram para fora das nossas zonas de conforto. </w:t>
      </w:r>
      <w:r w:rsidRPr="00C42F4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Foi isso que fizemos nos recentes debates </w:t>
      </w:r>
      <w:r w:rsidRPr="00C42F4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“questões éticas em tempo de pandemia”</w:t>
      </w:r>
      <w:r w:rsidRPr="00C42F4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promovidos pelo NEBio e acedíveis na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sua </w:t>
      </w:r>
      <w:r w:rsidRPr="00C42F4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página no site da SPMI</w:t>
      </w:r>
    </w:p>
    <w:p w14:paraId="005B691C" w14:textId="77777777" w:rsidR="00C42F4C" w:rsidRPr="00C42F4C" w:rsidRDefault="00C42F4C" w:rsidP="00C42F4C">
      <w:pPr>
        <w:tabs>
          <w:tab w:val="left" w:pos="8505"/>
        </w:tabs>
        <w:spacing w:line="360" w:lineRule="auto"/>
        <w:ind w:right="-1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67403EBB" w14:textId="7FDC000A" w:rsidR="00C42F4C" w:rsidRPr="00C42F4C" w:rsidRDefault="00C42F4C" w:rsidP="00C42F4C">
      <w:pPr>
        <w:tabs>
          <w:tab w:val="left" w:pos="8505"/>
        </w:tabs>
        <w:spacing w:line="36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C42F4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Nesse contexto lançamos um desafio: partilhar a sua própria narrativa sobre a experiência em tempo de pandemia</w:t>
      </w:r>
      <w:r w:rsidRPr="00C42F4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em 1-4 páginas A4, </w:t>
      </w:r>
      <w:proofErr w:type="spellStart"/>
      <w:r w:rsidRPr="00C42F4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letre</w:t>
      </w:r>
      <w:proofErr w:type="spellEnd"/>
      <w:r w:rsidRPr="00C42F4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: Times New </w:t>
      </w:r>
      <w:proofErr w:type="spellStart"/>
      <w:r w:rsidRPr="00C42F4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Roman</w:t>
      </w:r>
      <w:proofErr w:type="spellEnd"/>
      <w:r w:rsidRPr="00C42F4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 pitch12 e espaçamento de 1,5.</w:t>
      </w:r>
    </w:p>
    <w:p w14:paraId="4DDC130A" w14:textId="26B37CC7" w:rsidR="00C42F4C" w:rsidRPr="00C42F4C" w:rsidRDefault="00C42F4C" w:rsidP="00C42F4C">
      <w:pPr>
        <w:tabs>
          <w:tab w:val="left" w:pos="8505"/>
        </w:tabs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C42F4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 memória é construída e reinterpretada de acordo com o que ficou silenciado, o que foi transfigurado, omitido ou preservado. Registar por escrito a experiência na primeira pessoa permite dar futuro à memória e</w:t>
      </w:r>
      <w:r w:rsidRPr="00C42F4C">
        <w:rPr>
          <w:rFonts w:ascii="Times New Roman" w:hAnsi="Times New Roman" w:cs="Times New Roman"/>
          <w:i/>
          <w:iCs/>
        </w:rPr>
        <w:t xml:space="preserve"> pode constituir uma fonte de evidência científica capaz de dar resposta às questões vividas durante o tempo excecional da pandemia. </w:t>
      </w:r>
    </w:p>
    <w:p w14:paraId="0ED3457F" w14:textId="77777777" w:rsidR="00C42F4C" w:rsidRPr="00C42F4C" w:rsidRDefault="00C42F4C" w:rsidP="00C42F4C">
      <w:pPr>
        <w:tabs>
          <w:tab w:val="left" w:pos="8505"/>
        </w:tabs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C42F4C">
        <w:rPr>
          <w:rFonts w:ascii="Times New Roman" w:hAnsi="Times New Roman" w:cs="Times New Roman"/>
          <w:i/>
          <w:iCs/>
        </w:rPr>
        <w:t>Nessas narrativas poderemos certamente encontrar:</w:t>
      </w:r>
    </w:p>
    <w:p w14:paraId="5A1DD959" w14:textId="77777777" w:rsidR="00C42F4C" w:rsidRPr="00C42F4C" w:rsidRDefault="00C42F4C" w:rsidP="00C42F4C">
      <w:pPr>
        <w:pStyle w:val="PargrafodaLista"/>
        <w:numPr>
          <w:ilvl w:val="0"/>
          <w:numId w:val="1"/>
        </w:numPr>
        <w:tabs>
          <w:tab w:val="left" w:pos="8505"/>
        </w:tabs>
        <w:spacing w:line="360" w:lineRule="auto"/>
        <w:ind w:left="284" w:right="-1" w:hanging="284"/>
        <w:jc w:val="both"/>
        <w:rPr>
          <w:rFonts w:ascii="Times New Roman" w:hAnsi="Times New Roman" w:cs="Times New Roman"/>
          <w:i/>
          <w:iCs/>
        </w:rPr>
      </w:pPr>
      <w:r w:rsidRPr="00C42F4C">
        <w:rPr>
          <w:rFonts w:ascii="Times New Roman" w:hAnsi="Times New Roman" w:cs="Times New Roman"/>
          <w:i/>
          <w:iCs/>
        </w:rPr>
        <w:t xml:space="preserve">propostas para o desenho do espaço arquitetónico das instituições de saúde, </w:t>
      </w:r>
    </w:p>
    <w:p w14:paraId="46281EB9" w14:textId="77777777" w:rsidR="00C42F4C" w:rsidRPr="00C42F4C" w:rsidRDefault="00C42F4C" w:rsidP="00C42F4C">
      <w:pPr>
        <w:pStyle w:val="PargrafodaLista"/>
        <w:numPr>
          <w:ilvl w:val="0"/>
          <w:numId w:val="1"/>
        </w:numPr>
        <w:tabs>
          <w:tab w:val="left" w:pos="8505"/>
        </w:tabs>
        <w:spacing w:line="360" w:lineRule="auto"/>
        <w:ind w:left="284" w:right="-1" w:hanging="284"/>
        <w:jc w:val="both"/>
        <w:rPr>
          <w:rFonts w:ascii="Times New Roman" w:hAnsi="Times New Roman" w:cs="Times New Roman"/>
          <w:i/>
          <w:iCs/>
        </w:rPr>
      </w:pPr>
      <w:r w:rsidRPr="00C42F4C">
        <w:rPr>
          <w:rFonts w:ascii="Times New Roman" w:hAnsi="Times New Roman" w:cs="Times New Roman"/>
          <w:i/>
          <w:iCs/>
        </w:rPr>
        <w:t xml:space="preserve">feedback sobre a gestão de recursos humanos e materiais e sugestões para alteração/melhoramento dos mesmos; </w:t>
      </w:r>
    </w:p>
    <w:p w14:paraId="0C2F6E8F" w14:textId="77777777" w:rsidR="00C42F4C" w:rsidRPr="00C42F4C" w:rsidRDefault="00C42F4C" w:rsidP="00C42F4C">
      <w:pPr>
        <w:pStyle w:val="PargrafodaLista"/>
        <w:numPr>
          <w:ilvl w:val="0"/>
          <w:numId w:val="1"/>
        </w:numPr>
        <w:tabs>
          <w:tab w:val="left" w:pos="8505"/>
        </w:tabs>
        <w:spacing w:line="360" w:lineRule="auto"/>
        <w:ind w:left="284" w:right="-1" w:hanging="284"/>
        <w:jc w:val="both"/>
        <w:rPr>
          <w:rFonts w:ascii="Times New Roman" w:hAnsi="Times New Roman" w:cs="Times New Roman"/>
          <w:i/>
          <w:iCs/>
        </w:rPr>
      </w:pPr>
      <w:r w:rsidRPr="00C42F4C">
        <w:rPr>
          <w:rFonts w:ascii="Times New Roman" w:hAnsi="Times New Roman" w:cs="Times New Roman"/>
          <w:i/>
          <w:iCs/>
        </w:rPr>
        <w:t xml:space="preserve">histórias que permitem interpretar o </w:t>
      </w:r>
      <w:proofErr w:type="spellStart"/>
      <w:r w:rsidRPr="00C42F4C">
        <w:rPr>
          <w:rFonts w:ascii="Times New Roman" w:hAnsi="Times New Roman" w:cs="Times New Roman"/>
          <w:i/>
          <w:iCs/>
        </w:rPr>
        <w:t>burnout</w:t>
      </w:r>
      <w:proofErr w:type="spellEnd"/>
      <w:r w:rsidRPr="00C42F4C">
        <w:rPr>
          <w:rFonts w:ascii="Times New Roman" w:hAnsi="Times New Roman" w:cs="Times New Roman"/>
          <w:i/>
          <w:iCs/>
        </w:rPr>
        <w:t xml:space="preserve"> de cuidadores e profissionais de saúde;</w:t>
      </w:r>
    </w:p>
    <w:p w14:paraId="12B12524" w14:textId="77777777" w:rsidR="00C42F4C" w:rsidRPr="00C42F4C" w:rsidRDefault="00C42F4C" w:rsidP="00C42F4C">
      <w:pPr>
        <w:pStyle w:val="PargrafodaLista"/>
        <w:numPr>
          <w:ilvl w:val="0"/>
          <w:numId w:val="1"/>
        </w:numPr>
        <w:tabs>
          <w:tab w:val="left" w:pos="8505"/>
        </w:tabs>
        <w:spacing w:line="360" w:lineRule="auto"/>
        <w:ind w:left="284" w:right="-1" w:hanging="284"/>
        <w:jc w:val="both"/>
        <w:rPr>
          <w:rFonts w:ascii="Times New Roman" w:hAnsi="Times New Roman" w:cs="Times New Roman"/>
          <w:i/>
          <w:iCs/>
        </w:rPr>
      </w:pPr>
      <w:r w:rsidRPr="00C42F4C">
        <w:rPr>
          <w:rFonts w:ascii="Times New Roman" w:hAnsi="Times New Roman" w:cs="Times New Roman"/>
          <w:i/>
          <w:iCs/>
        </w:rPr>
        <w:t>clarificação das perceções sociais de doenças;</w:t>
      </w:r>
    </w:p>
    <w:p w14:paraId="30EA8A9B" w14:textId="77777777" w:rsidR="00C42F4C" w:rsidRPr="00C42F4C" w:rsidRDefault="00C42F4C" w:rsidP="00C42F4C">
      <w:pPr>
        <w:pStyle w:val="PargrafodaLista"/>
        <w:numPr>
          <w:ilvl w:val="0"/>
          <w:numId w:val="1"/>
        </w:numPr>
        <w:tabs>
          <w:tab w:val="left" w:pos="8505"/>
        </w:tabs>
        <w:spacing w:line="360" w:lineRule="auto"/>
        <w:ind w:left="284" w:right="-1" w:hanging="284"/>
        <w:jc w:val="both"/>
        <w:rPr>
          <w:rFonts w:ascii="Times New Roman" w:hAnsi="Times New Roman" w:cs="Times New Roman"/>
          <w:i/>
          <w:iCs/>
        </w:rPr>
      </w:pPr>
      <w:r w:rsidRPr="00C42F4C">
        <w:rPr>
          <w:rFonts w:ascii="Times New Roman" w:hAnsi="Times New Roman" w:cs="Times New Roman"/>
          <w:i/>
          <w:iCs/>
        </w:rPr>
        <w:t>materialização do diálogo (ou da falta dele) entre o mundo da ciência e o mundo dos cuidados de saúde.</w:t>
      </w:r>
    </w:p>
    <w:p w14:paraId="4C959ABD" w14:textId="2F768CAF" w:rsidR="00C42F4C" w:rsidRPr="00C42F4C" w:rsidRDefault="00C42F4C" w:rsidP="00C42F4C">
      <w:pPr>
        <w:tabs>
          <w:tab w:val="left" w:pos="8505"/>
        </w:tabs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2F4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Iremos analisar as narrativas recolhidas através do método da análise de conteúdo,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C42F4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(</w:t>
      </w:r>
      <w:proofErr w:type="spellStart"/>
      <w:r w:rsidRPr="00C42F4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Bardin</w:t>
      </w:r>
      <w:proofErr w:type="spellEnd"/>
      <w:r w:rsidRPr="00C42F4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, 2013), tendo como unidade de análise a unidade de sentido e a unidade de contexto</w:t>
      </w:r>
    </w:p>
    <w:sectPr w:rsidR="00C42F4C" w:rsidRPr="00C42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36EDA"/>
    <w:multiLevelType w:val="hybridMultilevel"/>
    <w:tmpl w:val="DBCCCE7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4C"/>
    <w:rsid w:val="00C42F4C"/>
    <w:rsid w:val="00F9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3932"/>
  <w15:chartTrackingRefBased/>
  <w15:docId w15:val="{7669D5D3-3066-497B-BA68-EB630D5A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F4C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2F4C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Carneiro</dc:creator>
  <cp:keywords/>
  <dc:description/>
  <cp:lastModifiedBy>António Carneiro</cp:lastModifiedBy>
  <cp:revision>1</cp:revision>
  <dcterms:created xsi:type="dcterms:W3CDTF">2020-06-17T15:30:00Z</dcterms:created>
  <dcterms:modified xsi:type="dcterms:W3CDTF">2020-06-17T15:44:00Z</dcterms:modified>
</cp:coreProperties>
</file>